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1CD8D" w14:textId="77777777" w:rsidR="00E12DE6" w:rsidRPr="008419B2" w:rsidRDefault="00E12DE6" w:rsidP="00E918DB">
      <w:pPr>
        <w:widowControl/>
        <w:adjustRightInd w:val="0"/>
        <w:snapToGrid w:val="0"/>
        <w:spacing w:beforeLines="50" w:before="156" w:afterLines="50" w:after="156" w:line="360" w:lineRule="auto"/>
        <w:jc w:val="center"/>
        <w:rPr>
          <w:rFonts w:ascii="宋体" w:eastAsia="宋体" w:hAnsi="宋体" w:cs="宋体"/>
          <w:b/>
          <w:color w:val="000000" w:themeColor="text1"/>
          <w:kern w:val="0"/>
          <w:sz w:val="36"/>
          <w:szCs w:val="36"/>
        </w:rPr>
      </w:pPr>
      <w:bookmarkStart w:id="0" w:name="_Hlk18081913"/>
      <w:r w:rsidRPr="008419B2">
        <w:rPr>
          <w:rFonts w:ascii="Times New Roman" w:eastAsia="宋体" w:hAnsi="Times New Roman" w:cs="宋体" w:hint="eastAsia"/>
          <w:b/>
          <w:color w:val="000000" w:themeColor="text1"/>
          <w:kern w:val="0"/>
          <w:sz w:val="36"/>
          <w:szCs w:val="36"/>
        </w:rPr>
        <w:t>北京京城机电股份有限公司</w:t>
      </w:r>
    </w:p>
    <w:p w14:paraId="1E975664" w14:textId="77777777" w:rsidR="00E12DE6" w:rsidRPr="00B53F65" w:rsidRDefault="00E12DE6" w:rsidP="00E918DB">
      <w:pPr>
        <w:widowControl/>
        <w:adjustRightInd w:val="0"/>
        <w:snapToGrid w:val="0"/>
        <w:spacing w:beforeLines="50" w:before="156" w:afterLines="50" w:after="156" w:line="360" w:lineRule="auto"/>
        <w:jc w:val="center"/>
        <w:rPr>
          <w:rFonts w:ascii="Times New Roman" w:eastAsia="宋体" w:hAnsi="Times New Roman" w:cs="宋体"/>
          <w:b/>
          <w:bCs/>
          <w:color w:val="000000" w:themeColor="text1"/>
          <w:kern w:val="0"/>
          <w:sz w:val="36"/>
          <w:szCs w:val="36"/>
        </w:rPr>
      </w:pPr>
      <w:r w:rsidRPr="00B53F65">
        <w:rPr>
          <w:rFonts w:ascii="Times New Roman" w:eastAsia="宋体" w:hAnsi="Times New Roman" w:cs="宋体" w:hint="eastAsia"/>
          <w:b/>
          <w:bCs/>
          <w:color w:val="000000" w:themeColor="text1"/>
          <w:kern w:val="0"/>
          <w:sz w:val="36"/>
          <w:szCs w:val="36"/>
        </w:rPr>
        <w:t>未来三年（</w:t>
      </w:r>
      <w:r w:rsidRPr="00B53F65">
        <w:rPr>
          <w:rFonts w:ascii="Times New Roman" w:eastAsia="宋体" w:hAnsi="Times New Roman" w:cs="宋体"/>
          <w:b/>
          <w:bCs/>
          <w:color w:val="000000" w:themeColor="text1"/>
          <w:kern w:val="0"/>
          <w:sz w:val="36"/>
          <w:szCs w:val="36"/>
        </w:rPr>
        <w:t>2022</w:t>
      </w:r>
      <w:r w:rsidRPr="00B53F65">
        <w:rPr>
          <w:rFonts w:ascii="Times New Roman" w:eastAsia="宋体" w:hAnsi="Times New Roman" w:cs="宋体"/>
          <w:b/>
          <w:bCs/>
          <w:color w:val="000000" w:themeColor="text1"/>
          <w:kern w:val="0"/>
          <w:sz w:val="36"/>
          <w:szCs w:val="36"/>
        </w:rPr>
        <w:t>年</w:t>
      </w:r>
      <w:r w:rsidRPr="00B53F65">
        <w:rPr>
          <w:rFonts w:ascii="Times New Roman" w:eastAsia="宋体" w:hAnsi="Times New Roman" w:cs="宋体"/>
          <w:b/>
          <w:bCs/>
          <w:color w:val="000000" w:themeColor="text1"/>
          <w:kern w:val="0"/>
          <w:sz w:val="36"/>
          <w:szCs w:val="36"/>
        </w:rPr>
        <w:t>-2024</w:t>
      </w:r>
      <w:r w:rsidRPr="00B53F65">
        <w:rPr>
          <w:rFonts w:ascii="Times New Roman" w:eastAsia="宋体" w:hAnsi="Times New Roman" w:cs="宋体"/>
          <w:b/>
          <w:bCs/>
          <w:color w:val="000000" w:themeColor="text1"/>
          <w:kern w:val="0"/>
          <w:sz w:val="36"/>
          <w:szCs w:val="36"/>
        </w:rPr>
        <w:t>年）股东回报规划</w:t>
      </w:r>
    </w:p>
    <w:bookmarkEnd w:id="0"/>
    <w:p w14:paraId="2E0E94DF" w14:textId="7DAFE60F" w:rsidR="00880FC8" w:rsidRPr="00475C26"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75C26">
        <w:rPr>
          <w:rFonts w:ascii="Times New Roman" w:eastAsia="宋体" w:hAnsi="Times New Roman" w:cs="Times New Roman"/>
          <w:sz w:val="24"/>
          <w:szCs w:val="24"/>
        </w:rPr>
        <w:t>为进一步明确及完善</w:t>
      </w:r>
      <w:r w:rsidRPr="00475C26">
        <w:rPr>
          <w:rFonts w:ascii="Times New Roman" w:eastAsia="宋体" w:hAnsi="Times New Roman" w:cs="Times New Roman" w:hint="eastAsia"/>
          <w:sz w:val="24"/>
          <w:szCs w:val="24"/>
        </w:rPr>
        <w:t>北京京城机电股份有限公司（“公司”）</w:t>
      </w:r>
      <w:r w:rsidRPr="00475C26">
        <w:rPr>
          <w:rFonts w:ascii="Times New Roman" w:eastAsia="宋体" w:hAnsi="Times New Roman" w:cs="Times New Roman"/>
          <w:sz w:val="24"/>
          <w:szCs w:val="24"/>
        </w:rPr>
        <w:t>分红机制，增强利润分配决策机制的透明度和可操作性，切实保护中小股东的合法权益，根据《中华人民共和国公司法》</w:t>
      </w:r>
      <w:r w:rsidRPr="00475C26">
        <w:rPr>
          <w:rFonts w:ascii="Times New Roman" w:eastAsia="宋体" w:hAnsi="Times New Roman" w:cs="Times New Roman" w:hint="eastAsia"/>
          <w:sz w:val="24"/>
          <w:szCs w:val="24"/>
        </w:rPr>
        <w:t>（“《公司法》”）</w:t>
      </w:r>
      <w:r w:rsidRPr="00475C26">
        <w:rPr>
          <w:rFonts w:ascii="Times New Roman" w:eastAsia="宋体" w:hAnsi="Times New Roman" w:cs="Times New Roman"/>
          <w:sz w:val="24"/>
          <w:szCs w:val="24"/>
        </w:rPr>
        <w:t>《关于进一步落实上市公司现金分红有关事项的通知》《上市公司监管指引第</w:t>
      </w:r>
      <w:r w:rsidRPr="00475C26">
        <w:rPr>
          <w:rFonts w:ascii="Times New Roman" w:eastAsia="宋体" w:hAnsi="Times New Roman" w:cs="Times New Roman"/>
          <w:sz w:val="24"/>
          <w:szCs w:val="24"/>
        </w:rPr>
        <w:t>3</w:t>
      </w:r>
      <w:r w:rsidRPr="00475C26">
        <w:rPr>
          <w:rFonts w:ascii="Times New Roman" w:eastAsia="宋体" w:hAnsi="Times New Roman" w:cs="Times New Roman"/>
          <w:sz w:val="24"/>
          <w:szCs w:val="24"/>
        </w:rPr>
        <w:t>号</w:t>
      </w:r>
      <w:r w:rsidRPr="00475C26">
        <w:rPr>
          <w:rFonts w:ascii="Times New Roman" w:eastAsia="宋体" w:hAnsi="Times New Roman" w:cs="Times New Roman"/>
          <w:sz w:val="24"/>
          <w:szCs w:val="24"/>
        </w:rPr>
        <w:t>—</w:t>
      </w:r>
      <w:r w:rsidRPr="00475C26">
        <w:rPr>
          <w:rFonts w:ascii="Times New Roman" w:eastAsia="宋体" w:hAnsi="Times New Roman" w:cs="Times New Roman"/>
          <w:sz w:val="24"/>
          <w:szCs w:val="24"/>
        </w:rPr>
        <w:t>上市公司现金分红》</w:t>
      </w:r>
      <w:r w:rsidRPr="00475C26">
        <w:rPr>
          <w:rFonts w:ascii="Times New Roman" w:eastAsia="宋体" w:hAnsi="Times New Roman" w:cs="Times New Roman" w:hint="eastAsia"/>
          <w:sz w:val="24"/>
          <w:szCs w:val="24"/>
        </w:rPr>
        <w:t>等</w:t>
      </w:r>
      <w:r w:rsidRPr="00475C26">
        <w:rPr>
          <w:rFonts w:ascii="Times New Roman" w:eastAsia="宋体" w:hAnsi="Times New Roman" w:cs="Times New Roman"/>
          <w:sz w:val="24"/>
          <w:szCs w:val="24"/>
        </w:rPr>
        <w:t>有关规定，并结合</w:t>
      </w:r>
      <w:r w:rsidRPr="00880FC8">
        <w:rPr>
          <w:rFonts w:ascii="Times New Roman" w:eastAsia="宋体" w:hAnsi="Times New Roman" w:cs="Times New Roman"/>
          <w:sz w:val="24"/>
          <w:szCs w:val="24"/>
        </w:rPr>
        <w:t>《</w:t>
      </w:r>
      <w:r w:rsidRPr="00880FC8">
        <w:rPr>
          <w:rFonts w:ascii="Times New Roman" w:eastAsia="宋体" w:hAnsi="Times New Roman" w:cs="Times New Roman" w:hint="eastAsia"/>
          <w:sz w:val="24"/>
          <w:szCs w:val="24"/>
        </w:rPr>
        <w:t>北京京城机电股份有限公司</w:t>
      </w:r>
      <w:r w:rsidRPr="00880FC8">
        <w:rPr>
          <w:rFonts w:ascii="Times New Roman" w:eastAsia="宋体" w:hAnsi="Times New Roman" w:cs="Times New Roman"/>
          <w:sz w:val="24"/>
          <w:szCs w:val="24"/>
        </w:rPr>
        <w:t>章程》</w:t>
      </w:r>
      <w:r w:rsidRPr="00475C26">
        <w:rPr>
          <w:rFonts w:ascii="Times New Roman" w:eastAsia="宋体" w:hAnsi="Times New Roman" w:cs="Times New Roman" w:hint="eastAsia"/>
          <w:sz w:val="24"/>
          <w:szCs w:val="24"/>
        </w:rPr>
        <w:t>（“《公司章程》”）</w:t>
      </w:r>
      <w:r w:rsidRPr="00475C26">
        <w:rPr>
          <w:rFonts w:ascii="Times New Roman" w:eastAsia="宋体" w:hAnsi="Times New Roman" w:cs="Times New Roman"/>
          <w:sz w:val="24"/>
          <w:szCs w:val="24"/>
        </w:rPr>
        <w:t>，制定</w:t>
      </w:r>
      <w:r w:rsidRPr="00475C26">
        <w:rPr>
          <w:rFonts w:ascii="Times New Roman" w:eastAsia="宋体" w:hAnsi="Times New Roman" w:cs="Times New Roman" w:hint="eastAsia"/>
          <w:sz w:val="24"/>
          <w:szCs w:val="24"/>
        </w:rPr>
        <w:t>了</w:t>
      </w:r>
      <w:r w:rsidRPr="00475C26">
        <w:rPr>
          <w:rFonts w:ascii="Times New Roman" w:eastAsia="宋体" w:hAnsi="Times New Roman" w:cs="Times New Roman"/>
          <w:sz w:val="24"/>
          <w:szCs w:val="24"/>
        </w:rPr>
        <w:t>《</w:t>
      </w:r>
      <w:r w:rsidRPr="00475C26">
        <w:rPr>
          <w:rFonts w:ascii="Times New Roman" w:eastAsia="宋体" w:hAnsi="Times New Roman" w:cs="Times New Roman" w:hint="eastAsia"/>
          <w:sz w:val="24"/>
          <w:szCs w:val="24"/>
        </w:rPr>
        <w:t>北京京城机电股份有限公司</w:t>
      </w:r>
      <w:r w:rsidRPr="00475C26">
        <w:rPr>
          <w:rFonts w:ascii="Times New Roman" w:eastAsia="宋体" w:hAnsi="Times New Roman" w:cs="Times New Roman"/>
          <w:sz w:val="24"/>
          <w:szCs w:val="24"/>
        </w:rPr>
        <w:t>未来</w:t>
      </w:r>
      <w:r w:rsidRPr="00475C26">
        <w:rPr>
          <w:rFonts w:ascii="Times New Roman" w:eastAsia="宋体" w:hAnsi="Times New Roman" w:cs="Times New Roman" w:hint="eastAsia"/>
          <w:sz w:val="24"/>
          <w:szCs w:val="24"/>
        </w:rPr>
        <w:t>三年（</w:t>
      </w:r>
      <w:r w:rsidRPr="00475C26">
        <w:rPr>
          <w:rFonts w:ascii="Times New Roman" w:eastAsia="宋体" w:hAnsi="Times New Roman" w:cs="Times New Roman"/>
          <w:sz w:val="24"/>
          <w:szCs w:val="24"/>
        </w:rPr>
        <w:t>2022</w:t>
      </w:r>
      <w:r w:rsidRPr="00475C26">
        <w:rPr>
          <w:rFonts w:ascii="Times New Roman" w:eastAsia="宋体" w:hAnsi="Times New Roman" w:cs="Times New Roman" w:hint="eastAsia"/>
          <w:sz w:val="24"/>
          <w:szCs w:val="24"/>
        </w:rPr>
        <w:t>年</w:t>
      </w:r>
      <w:r w:rsidRPr="00475C26">
        <w:rPr>
          <w:rFonts w:ascii="Times New Roman" w:eastAsia="宋体" w:hAnsi="Times New Roman" w:cs="Times New Roman"/>
          <w:sz w:val="24"/>
          <w:szCs w:val="24"/>
        </w:rPr>
        <w:t>—2024</w:t>
      </w:r>
      <w:r w:rsidRPr="00475C26">
        <w:rPr>
          <w:rFonts w:ascii="Times New Roman" w:eastAsia="宋体" w:hAnsi="Times New Roman" w:cs="Times New Roman"/>
          <w:sz w:val="24"/>
          <w:szCs w:val="24"/>
        </w:rPr>
        <w:t>年</w:t>
      </w:r>
      <w:r w:rsidRPr="00475C26">
        <w:rPr>
          <w:rFonts w:ascii="Times New Roman" w:eastAsia="宋体" w:hAnsi="Times New Roman" w:cs="Times New Roman" w:hint="eastAsia"/>
          <w:sz w:val="24"/>
          <w:szCs w:val="24"/>
        </w:rPr>
        <w:t>）</w:t>
      </w:r>
      <w:r w:rsidRPr="00475C26">
        <w:rPr>
          <w:rFonts w:ascii="Times New Roman" w:eastAsia="宋体" w:hAnsi="Times New Roman" w:cs="Times New Roman"/>
          <w:sz w:val="24"/>
          <w:szCs w:val="24"/>
        </w:rPr>
        <w:t>股东回报规划》</w:t>
      </w:r>
      <w:r w:rsidRPr="00475C26">
        <w:rPr>
          <w:rFonts w:ascii="Times New Roman" w:eastAsia="宋体" w:hAnsi="Times New Roman" w:cs="Times New Roman" w:hint="eastAsia"/>
          <w:sz w:val="24"/>
          <w:szCs w:val="24"/>
        </w:rPr>
        <w:t>（“本规划”）</w:t>
      </w:r>
      <w:r w:rsidRPr="00475C26">
        <w:rPr>
          <w:rFonts w:ascii="Times New Roman" w:eastAsia="宋体" w:hAnsi="Times New Roman" w:cs="Times New Roman"/>
          <w:sz w:val="24"/>
          <w:szCs w:val="24"/>
        </w:rPr>
        <w:t>，具体内容如下：</w:t>
      </w:r>
    </w:p>
    <w:p w14:paraId="2E50307B" w14:textId="77777777" w:rsidR="00880FC8" w:rsidRPr="00880FC8" w:rsidRDefault="00880FC8" w:rsidP="00880FC8">
      <w:pPr>
        <w:adjustRightInd w:val="0"/>
        <w:snapToGrid w:val="0"/>
        <w:spacing w:beforeLines="50" w:before="156" w:line="360" w:lineRule="auto"/>
        <w:outlineLvl w:val="0"/>
        <w:rPr>
          <w:rFonts w:ascii="Times New Roman" w:eastAsia="宋体" w:hAnsi="Times New Roman" w:cs="Times New Roman"/>
          <w:b/>
          <w:sz w:val="28"/>
          <w:szCs w:val="28"/>
        </w:rPr>
      </w:pPr>
      <w:r w:rsidRPr="00880FC8">
        <w:rPr>
          <w:rFonts w:ascii="Times New Roman" w:eastAsia="宋体" w:hAnsi="Times New Roman" w:cs="Times New Roman" w:hint="eastAsia"/>
          <w:b/>
          <w:sz w:val="28"/>
          <w:szCs w:val="28"/>
        </w:rPr>
        <w:t>一、利润分配的基本原则</w:t>
      </w:r>
    </w:p>
    <w:p w14:paraId="5560BA9F" w14:textId="77777777"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公司充分考虑对投资者的回报，每年按当年实现的可供分配利润（合并报表）的规定比例向股东分配股利。</w:t>
      </w:r>
    </w:p>
    <w:p w14:paraId="7AE43ABA" w14:textId="4FA85593"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w:t>
      </w:r>
      <w:r w:rsidRPr="00880FC8">
        <w:rPr>
          <w:rFonts w:ascii="Times New Roman" w:eastAsia="宋体" w:hAnsi="Times New Roman" w:cs="Times New Roman"/>
          <w:sz w:val="24"/>
          <w:szCs w:val="24"/>
        </w:rPr>
        <w:t>司的利润分配政策保持连续性和稳定性，同时兼顾公司的长远利益、全体股东的整体利益及公司的可持续发展。</w:t>
      </w:r>
    </w:p>
    <w:p w14:paraId="7EC51A25" w14:textId="07E7D354"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公司优先采用现金分红的利润分配方式。</w:t>
      </w:r>
    </w:p>
    <w:p w14:paraId="678E6E89" w14:textId="77777777" w:rsidR="00880FC8" w:rsidRPr="00880FC8" w:rsidRDefault="00880FC8" w:rsidP="00880FC8">
      <w:pPr>
        <w:adjustRightInd w:val="0"/>
        <w:snapToGrid w:val="0"/>
        <w:spacing w:beforeLines="50" w:before="156" w:line="360" w:lineRule="auto"/>
        <w:outlineLvl w:val="0"/>
        <w:rPr>
          <w:rFonts w:ascii="Times New Roman" w:eastAsia="宋体" w:hAnsi="Times New Roman" w:cs="Times New Roman"/>
          <w:b/>
          <w:sz w:val="28"/>
          <w:szCs w:val="28"/>
        </w:rPr>
      </w:pPr>
      <w:r w:rsidRPr="00880FC8">
        <w:rPr>
          <w:rFonts w:ascii="Times New Roman" w:eastAsia="宋体" w:hAnsi="Times New Roman" w:cs="Times New Roman" w:hint="eastAsia"/>
          <w:b/>
          <w:sz w:val="28"/>
          <w:szCs w:val="28"/>
        </w:rPr>
        <w:t>二、公司利润分配的具体政策</w:t>
      </w:r>
    </w:p>
    <w:p w14:paraId="5E337C19" w14:textId="77777777" w:rsidR="00880FC8" w:rsidRPr="00880FC8" w:rsidRDefault="00880FC8" w:rsidP="00880FC8">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880FC8">
        <w:rPr>
          <w:rFonts w:ascii="Times New Roman" w:eastAsia="宋体" w:hAnsi="Times New Roman" w:cs="Times New Roman" w:hint="eastAsia"/>
          <w:b/>
          <w:color w:val="000000"/>
          <w:sz w:val="24"/>
        </w:rPr>
        <w:t>（一）利润分配顺序</w:t>
      </w:r>
    </w:p>
    <w:p w14:paraId="782CAE5C" w14:textId="77777777"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公司分配当年税后利润时，应当提取利润的</w:t>
      </w:r>
      <w:r w:rsidRPr="00880FC8">
        <w:rPr>
          <w:rFonts w:ascii="Times New Roman" w:eastAsia="宋体" w:hAnsi="Times New Roman" w:cs="Times New Roman"/>
          <w:sz w:val="24"/>
          <w:szCs w:val="24"/>
        </w:rPr>
        <w:t>10%</w:t>
      </w:r>
      <w:r w:rsidRPr="00880FC8">
        <w:rPr>
          <w:rFonts w:ascii="Times New Roman" w:eastAsia="宋体" w:hAnsi="Times New Roman" w:cs="Times New Roman"/>
          <w:sz w:val="24"/>
          <w:szCs w:val="24"/>
        </w:rPr>
        <w:t>列入公司法定公积金。公司法定公积金累计额为公司注册资本的</w:t>
      </w:r>
      <w:r w:rsidRPr="00880FC8">
        <w:rPr>
          <w:rFonts w:ascii="Times New Roman" w:eastAsia="宋体" w:hAnsi="Times New Roman" w:cs="Times New Roman"/>
          <w:sz w:val="24"/>
          <w:szCs w:val="24"/>
        </w:rPr>
        <w:t>50%</w:t>
      </w:r>
      <w:r w:rsidRPr="00880FC8">
        <w:rPr>
          <w:rFonts w:ascii="Times New Roman" w:eastAsia="宋体" w:hAnsi="Times New Roman" w:cs="Times New Roman"/>
          <w:sz w:val="24"/>
          <w:szCs w:val="24"/>
        </w:rPr>
        <w:t>以上的，可以不再提取。</w:t>
      </w:r>
    </w:p>
    <w:p w14:paraId="6529F31C" w14:textId="77777777"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公司的法定公积金不足以弥补以前年度亏损的，在依照前款规定提取法定公积金之前，应当先用当年利润弥补亏损。</w:t>
      </w:r>
    </w:p>
    <w:p w14:paraId="15606466" w14:textId="77777777"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公司从税后利润中提取法定公积金后，经股东大会决议，还可以从税后利润中提取任意公积金。</w:t>
      </w:r>
    </w:p>
    <w:p w14:paraId="63A2F8B5" w14:textId="127E2424"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公司弥补亏损和提取公积金后所余税后利润，按照股东持有的股份比例分配，</w:t>
      </w:r>
      <w:r w:rsidRPr="00880FC8">
        <w:rPr>
          <w:rFonts w:ascii="Times New Roman" w:eastAsia="宋体" w:hAnsi="Times New Roman" w:cs="Times New Roman" w:hint="eastAsia"/>
          <w:sz w:val="24"/>
          <w:szCs w:val="24"/>
        </w:rPr>
        <w:lastRenderedPageBreak/>
        <w:t>但本章程规定不按持股比例分配的除外。</w:t>
      </w:r>
    </w:p>
    <w:p w14:paraId="2A9CF647" w14:textId="4D05EAD4"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股东大会违反前款规定，在公司弥补亏损和提取法定公积金之前向股东分配利润的，股东必须将违反规定分配的利润退还公司。</w:t>
      </w:r>
    </w:p>
    <w:p w14:paraId="0C3D3C38" w14:textId="62A0C72D"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公司持有的本公司股份不参与分配利润。</w:t>
      </w:r>
    </w:p>
    <w:p w14:paraId="1A8618B1" w14:textId="77777777" w:rsidR="00880FC8" w:rsidRPr="00880FC8" w:rsidRDefault="00880FC8" w:rsidP="00880FC8">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880FC8">
        <w:rPr>
          <w:rFonts w:ascii="Times New Roman" w:eastAsia="宋体" w:hAnsi="Times New Roman" w:cs="Times New Roman" w:hint="eastAsia"/>
          <w:b/>
          <w:color w:val="000000"/>
          <w:sz w:val="24"/>
        </w:rPr>
        <w:t>（二）利润分配方式</w:t>
      </w:r>
    </w:p>
    <w:p w14:paraId="063D2CD5" w14:textId="24816D09"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公司采用现金、股票或现金与股票相结合的方式分配股利。在有条件的情况下，公司可以进行中期利润分配。</w:t>
      </w:r>
    </w:p>
    <w:p w14:paraId="73ED899E" w14:textId="77777777" w:rsidR="00880FC8" w:rsidRPr="00880FC8" w:rsidRDefault="00880FC8" w:rsidP="00880FC8">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880FC8">
        <w:rPr>
          <w:rFonts w:ascii="Times New Roman" w:eastAsia="宋体" w:hAnsi="Times New Roman" w:cs="Times New Roman" w:hint="eastAsia"/>
          <w:b/>
          <w:color w:val="000000"/>
          <w:sz w:val="24"/>
        </w:rPr>
        <w:t>（三）现金分红的条件、比例及例外</w:t>
      </w:r>
    </w:p>
    <w:p w14:paraId="2ABD4B51" w14:textId="4E0AF347"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在全部满足下列现金分红的条件时，公司未来三年每年以现金方式分配的利润不少于当年实现的可供分配利润（合并报表）的</w:t>
      </w:r>
      <w:r w:rsidRPr="00880FC8">
        <w:rPr>
          <w:rFonts w:ascii="Times New Roman" w:eastAsia="宋体" w:hAnsi="Times New Roman" w:cs="Times New Roman"/>
          <w:sz w:val="24"/>
          <w:szCs w:val="24"/>
        </w:rPr>
        <w:t>10%</w:t>
      </w:r>
      <w:r w:rsidRPr="00880FC8">
        <w:rPr>
          <w:rFonts w:ascii="Times New Roman" w:eastAsia="宋体" w:hAnsi="Times New Roman" w:cs="Times New Roman"/>
          <w:sz w:val="24"/>
          <w:szCs w:val="24"/>
        </w:rPr>
        <w:t>，最近三年以现金方式累</w:t>
      </w:r>
      <w:r w:rsidRPr="00880FC8">
        <w:rPr>
          <w:rFonts w:ascii="Times New Roman" w:eastAsia="宋体" w:hAnsi="Times New Roman" w:cs="Times New Roman" w:hint="eastAsia"/>
          <w:sz w:val="24"/>
          <w:szCs w:val="24"/>
        </w:rPr>
        <w:t>计分配的利润不少于最近三年实现的年均可供分配利润（合并报表）的</w:t>
      </w:r>
      <w:r w:rsidRPr="00880FC8">
        <w:rPr>
          <w:rFonts w:ascii="Times New Roman" w:eastAsia="宋体" w:hAnsi="Times New Roman" w:cs="Times New Roman"/>
          <w:sz w:val="24"/>
          <w:szCs w:val="24"/>
        </w:rPr>
        <w:t>30%</w:t>
      </w:r>
      <w:r w:rsidRPr="00880FC8">
        <w:rPr>
          <w:rFonts w:ascii="Times New Roman" w:eastAsia="宋体" w:hAnsi="Times New Roman" w:cs="Times New Roman"/>
          <w:sz w:val="24"/>
          <w:szCs w:val="24"/>
        </w:rPr>
        <w:t>：</w:t>
      </w:r>
    </w:p>
    <w:p w14:paraId="7247C44F" w14:textId="50967C04"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公司该年度实现的可供分配的净利润（即公司弥补亏损、提取公积金</w:t>
      </w:r>
      <w:r w:rsidRPr="00880FC8">
        <w:rPr>
          <w:rFonts w:ascii="Times New Roman" w:eastAsia="宋体" w:hAnsi="Times New Roman" w:cs="Times New Roman" w:hint="eastAsia"/>
          <w:sz w:val="24"/>
          <w:szCs w:val="24"/>
        </w:rPr>
        <w:t>后剩余的净利润）为正值，且现金流充裕，实施现金分红不会影响公司后续持续经营；</w:t>
      </w:r>
    </w:p>
    <w:p w14:paraId="4642F16D" w14:textId="702CBCEE"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母公司累计可供分配的利润为正值；</w:t>
      </w:r>
    </w:p>
    <w:p w14:paraId="1134BDA4" w14:textId="35C9F6A9"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审计机构对公司的该年度财务报告出具标准无保留意见的审计报告；</w:t>
      </w:r>
    </w:p>
    <w:p w14:paraId="2F5BE44B" w14:textId="5A7E5022"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公司无特殊情况发生（募集资金项目除外）；</w:t>
      </w:r>
    </w:p>
    <w:p w14:paraId="535C94C8" w14:textId="374118DC"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前款所述“特殊情况”是指公司未来十二个月内重大投资计划或重大资金支出（募集资金投资项目除外）的累计支出额达到或者超过公司最近一期经审计净资产的</w:t>
      </w:r>
      <w:r w:rsidRPr="00880FC8">
        <w:rPr>
          <w:rFonts w:ascii="Times New Roman" w:eastAsia="宋体" w:hAnsi="Times New Roman" w:cs="Times New Roman"/>
          <w:sz w:val="24"/>
          <w:szCs w:val="24"/>
        </w:rPr>
        <w:t>25%</w:t>
      </w:r>
      <w:r w:rsidRPr="00880FC8">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重大投资计划</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或</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重大资金支出</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包括对外投资、对外偿付债务或</w:t>
      </w:r>
      <w:r w:rsidRPr="00880FC8">
        <w:rPr>
          <w:rFonts w:ascii="Times New Roman" w:eastAsia="宋体" w:hAnsi="Times New Roman" w:cs="Times New Roman" w:hint="eastAsia"/>
          <w:sz w:val="24"/>
          <w:szCs w:val="24"/>
        </w:rPr>
        <w:t>重大资产收购等。</w:t>
      </w:r>
    </w:p>
    <w:p w14:paraId="26829D27" w14:textId="3BC58132"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880FC8">
        <w:rPr>
          <w:rFonts w:ascii="Times New Roman" w:eastAsia="宋体" w:hAnsi="Times New Roman" w:cs="Times New Roman"/>
          <w:sz w:val="24"/>
          <w:szCs w:val="24"/>
        </w:rPr>
        <w:t>不存在不能按期偿付债券本息或者到期不能按期偿付债券本息的情形</w:t>
      </w:r>
      <w:r>
        <w:rPr>
          <w:rFonts w:ascii="Times New Roman" w:eastAsia="宋体" w:hAnsi="Times New Roman" w:cs="Times New Roman" w:hint="eastAsia"/>
          <w:sz w:val="24"/>
          <w:szCs w:val="24"/>
        </w:rPr>
        <w:t>。</w:t>
      </w:r>
    </w:p>
    <w:p w14:paraId="21C8B41D" w14:textId="77777777" w:rsidR="00880FC8" w:rsidRPr="00880FC8" w:rsidRDefault="00880FC8" w:rsidP="00880FC8">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880FC8">
        <w:rPr>
          <w:rFonts w:ascii="Times New Roman" w:eastAsia="宋体" w:hAnsi="Times New Roman" w:cs="Times New Roman" w:hint="eastAsia"/>
          <w:b/>
          <w:color w:val="000000"/>
          <w:sz w:val="24"/>
        </w:rPr>
        <w:t>（四）公司发放股票股利的具体条件</w:t>
      </w:r>
    </w:p>
    <w:p w14:paraId="22FA2EA3" w14:textId="576A5A61"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公司在经营情况良好，且公司股票估值处于合理范围内，可以根据公积金及现金流状况，在保证最低现金分红比例和公司股本规模合理的前提下，采用股票</w:t>
      </w:r>
      <w:r w:rsidRPr="00880FC8">
        <w:rPr>
          <w:rFonts w:ascii="Times New Roman" w:eastAsia="宋体" w:hAnsi="Times New Roman" w:cs="Times New Roman" w:hint="eastAsia"/>
          <w:sz w:val="24"/>
          <w:szCs w:val="24"/>
        </w:rPr>
        <w:lastRenderedPageBreak/>
        <w:t>股利方式进行利润分配。</w:t>
      </w:r>
    </w:p>
    <w:p w14:paraId="592BE155" w14:textId="5C81A4ED" w:rsidR="00880FC8" w:rsidRPr="00880FC8" w:rsidRDefault="00880FC8" w:rsidP="00880FC8">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880FC8">
        <w:rPr>
          <w:rFonts w:ascii="Times New Roman" w:eastAsia="宋体" w:hAnsi="Times New Roman" w:cs="Times New Roman" w:hint="eastAsia"/>
          <w:b/>
          <w:color w:val="000000"/>
          <w:sz w:val="24"/>
        </w:rPr>
        <w:t>（五）董事会应综合考虑企业所处行业特点、发展阶段、自身的经营模式、盈利水平以及当年是否有重大资金支出安排等因素，在不同的发展阶段制定差异化的现金分红政策</w:t>
      </w:r>
    </w:p>
    <w:p w14:paraId="0BA0F978" w14:textId="414B1DE3" w:rsidR="00880FC8" w:rsidRPr="00880FC8" w:rsidRDefault="003E324C"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880FC8" w:rsidRPr="00880FC8">
        <w:rPr>
          <w:rFonts w:ascii="Times New Roman" w:eastAsia="宋体" w:hAnsi="Times New Roman" w:cs="Times New Roman"/>
          <w:sz w:val="24"/>
          <w:szCs w:val="24"/>
        </w:rPr>
        <w:t>公司发展阶段属成熟期且无重大资金支出安排的，进行利润分配时，</w:t>
      </w:r>
      <w:r w:rsidR="00880FC8" w:rsidRPr="00880FC8">
        <w:rPr>
          <w:rFonts w:ascii="Times New Roman" w:eastAsia="宋体" w:hAnsi="Times New Roman" w:cs="Times New Roman" w:hint="eastAsia"/>
          <w:sz w:val="24"/>
          <w:szCs w:val="24"/>
        </w:rPr>
        <w:t>现金分红在本次利润分配中所占比例最低应达到</w:t>
      </w:r>
      <w:r w:rsidR="00880FC8" w:rsidRPr="00880FC8">
        <w:rPr>
          <w:rFonts w:ascii="Times New Roman" w:eastAsia="宋体" w:hAnsi="Times New Roman" w:cs="Times New Roman"/>
          <w:sz w:val="24"/>
          <w:szCs w:val="24"/>
        </w:rPr>
        <w:t>80%</w:t>
      </w:r>
      <w:r w:rsidR="00880FC8" w:rsidRPr="00880FC8">
        <w:rPr>
          <w:rFonts w:ascii="Times New Roman" w:eastAsia="宋体" w:hAnsi="Times New Roman" w:cs="Times New Roman"/>
          <w:sz w:val="24"/>
          <w:szCs w:val="24"/>
        </w:rPr>
        <w:t>；</w:t>
      </w:r>
    </w:p>
    <w:p w14:paraId="45CBDCAA" w14:textId="29A17446" w:rsidR="00880FC8" w:rsidRPr="00880FC8" w:rsidRDefault="003E324C"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880FC8" w:rsidRPr="00880FC8">
        <w:rPr>
          <w:rFonts w:ascii="Times New Roman" w:eastAsia="宋体" w:hAnsi="Times New Roman" w:cs="Times New Roman"/>
          <w:sz w:val="24"/>
          <w:szCs w:val="24"/>
        </w:rPr>
        <w:t>公司发展阶段属成熟期且有重大资金支出安排的，进行利润分配时，</w:t>
      </w:r>
      <w:r w:rsidR="00880FC8" w:rsidRPr="00880FC8">
        <w:rPr>
          <w:rFonts w:ascii="Times New Roman" w:eastAsia="宋体" w:hAnsi="Times New Roman" w:cs="Times New Roman" w:hint="eastAsia"/>
          <w:sz w:val="24"/>
          <w:szCs w:val="24"/>
        </w:rPr>
        <w:t>现金分红在本次利润分配中所占比例最低应达到</w:t>
      </w:r>
      <w:r w:rsidR="00880FC8" w:rsidRPr="00880FC8">
        <w:rPr>
          <w:rFonts w:ascii="Times New Roman" w:eastAsia="宋体" w:hAnsi="Times New Roman" w:cs="Times New Roman"/>
          <w:sz w:val="24"/>
          <w:szCs w:val="24"/>
        </w:rPr>
        <w:t>40%</w:t>
      </w:r>
      <w:r w:rsidR="00880FC8" w:rsidRPr="00880FC8">
        <w:rPr>
          <w:rFonts w:ascii="Times New Roman" w:eastAsia="宋体" w:hAnsi="Times New Roman" w:cs="Times New Roman"/>
          <w:sz w:val="24"/>
          <w:szCs w:val="24"/>
        </w:rPr>
        <w:t>；</w:t>
      </w:r>
    </w:p>
    <w:p w14:paraId="1B7BBB25" w14:textId="0F914DDA" w:rsidR="00880FC8" w:rsidRPr="00880FC8" w:rsidRDefault="003E324C"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880FC8" w:rsidRPr="00880FC8">
        <w:rPr>
          <w:rFonts w:ascii="Times New Roman" w:eastAsia="宋体" w:hAnsi="Times New Roman" w:cs="Times New Roman"/>
          <w:sz w:val="24"/>
          <w:szCs w:val="24"/>
        </w:rPr>
        <w:t>公司发展阶段属成长期且有重大资金支出安排的，进行利润分配时，</w:t>
      </w:r>
      <w:r w:rsidR="00880FC8" w:rsidRPr="00880FC8">
        <w:rPr>
          <w:rFonts w:ascii="Times New Roman" w:eastAsia="宋体" w:hAnsi="Times New Roman" w:cs="Times New Roman" w:hint="eastAsia"/>
          <w:sz w:val="24"/>
          <w:szCs w:val="24"/>
        </w:rPr>
        <w:t>现金分红在本次利润分配中所占比例最低应达到</w:t>
      </w:r>
      <w:r w:rsidR="00880FC8" w:rsidRPr="00880FC8">
        <w:rPr>
          <w:rFonts w:ascii="Times New Roman" w:eastAsia="宋体" w:hAnsi="Times New Roman" w:cs="Times New Roman"/>
          <w:sz w:val="24"/>
          <w:szCs w:val="24"/>
        </w:rPr>
        <w:t>20%</w:t>
      </w:r>
      <w:r w:rsidR="00880FC8" w:rsidRPr="00880FC8">
        <w:rPr>
          <w:rFonts w:ascii="Times New Roman" w:eastAsia="宋体" w:hAnsi="Times New Roman" w:cs="Times New Roman"/>
          <w:sz w:val="24"/>
          <w:szCs w:val="24"/>
        </w:rPr>
        <w:t>。</w:t>
      </w:r>
    </w:p>
    <w:p w14:paraId="78C7BEF3" w14:textId="77F9930A"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公司发展阶段不易区分但有重大资金支出安排的，可以按照前项规定处理。</w:t>
      </w:r>
    </w:p>
    <w:p w14:paraId="5FA3F8DE" w14:textId="77777777" w:rsidR="00880FC8" w:rsidRPr="00880FC8" w:rsidRDefault="00880FC8" w:rsidP="00880FC8">
      <w:pPr>
        <w:adjustRightInd w:val="0"/>
        <w:snapToGrid w:val="0"/>
        <w:spacing w:beforeLines="50" w:before="156" w:line="360" w:lineRule="auto"/>
        <w:outlineLvl w:val="0"/>
        <w:rPr>
          <w:rFonts w:ascii="Times New Roman" w:eastAsia="宋体" w:hAnsi="Times New Roman" w:cs="Times New Roman"/>
          <w:b/>
          <w:sz w:val="28"/>
          <w:szCs w:val="28"/>
        </w:rPr>
      </w:pPr>
      <w:r w:rsidRPr="00880FC8">
        <w:rPr>
          <w:rFonts w:ascii="Times New Roman" w:eastAsia="宋体" w:hAnsi="Times New Roman" w:cs="Times New Roman" w:hint="eastAsia"/>
          <w:b/>
          <w:sz w:val="28"/>
          <w:szCs w:val="28"/>
        </w:rPr>
        <w:t>三、公司利润分配的决策程序</w:t>
      </w:r>
    </w:p>
    <w:p w14:paraId="06CA2AD2" w14:textId="354E4406"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1" w:name="_Hlk118282222"/>
      <w:r w:rsidRPr="00880FC8">
        <w:rPr>
          <w:rFonts w:ascii="Times New Roman" w:eastAsia="宋体" w:hAnsi="Times New Roman" w:cs="Times New Roman"/>
          <w:sz w:val="24"/>
          <w:szCs w:val="24"/>
        </w:rPr>
        <w:t>1</w:t>
      </w:r>
      <w:r w:rsidRPr="00880FC8">
        <w:rPr>
          <w:rFonts w:ascii="Times New Roman" w:eastAsia="宋体" w:hAnsi="Times New Roman" w:cs="Times New Roman"/>
          <w:sz w:val="24"/>
          <w:szCs w:val="24"/>
        </w:rPr>
        <w:t>、公司的利润分配方案由董事会制定。董事会应就利润分配方案的合理性</w:t>
      </w:r>
      <w:r w:rsidRPr="00880FC8">
        <w:rPr>
          <w:rFonts w:ascii="Times New Roman" w:eastAsia="宋体" w:hAnsi="Times New Roman" w:cs="Times New Roman" w:hint="eastAsia"/>
          <w:sz w:val="24"/>
          <w:szCs w:val="24"/>
        </w:rPr>
        <w:t>进行充分讨论，形成专项决议，并经董事会、监事会审议通过后提交股东大会审议。</w:t>
      </w:r>
    </w:p>
    <w:p w14:paraId="62094ED8" w14:textId="5705E311"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sz w:val="24"/>
          <w:szCs w:val="24"/>
        </w:rPr>
        <w:t>2</w:t>
      </w:r>
      <w:r w:rsidRPr="00880FC8">
        <w:rPr>
          <w:rFonts w:ascii="Times New Roman" w:eastAsia="宋体" w:hAnsi="Times New Roman" w:cs="Times New Roman"/>
          <w:sz w:val="24"/>
          <w:szCs w:val="24"/>
        </w:rPr>
        <w:t>、公司因前述特殊情况而不进行现金分红时，董事会就不进行现金分红的</w:t>
      </w:r>
      <w:r w:rsidRPr="00880FC8">
        <w:rPr>
          <w:rFonts w:ascii="Times New Roman" w:eastAsia="宋体" w:hAnsi="Times New Roman" w:cs="Times New Roman" w:hint="eastAsia"/>
          <w:sz w:val="24"/>
          <w:szCs w:val="24"/>
        </w:rPr>
        <w:t>具体原因、公司留存收益的确切用途及预计投资收益等事项进行专项说明，经独立董事发表意见后提交股东大会审议。</w:t>
      </w:r>
    </w:p>
    <w:p w14:paraId="3C8AD5E7" w14:textId="38739875"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sz w:val="24"/>
          <w:szCs w:val="24"/>
        </w:rPr>
        <w:t>3</w:t>
      </w:r>
      <w:r w:rsidRPr="00880FC8">
        <w:rPr>
          <w:rFonts w:ascii="Times New Roman" w:eastAsia="宋体" w:hAnsi="Times New Roman" w:cs="Times New Roman"/>
          <w:sz w:val="24"/>
          <w:szCs w:val="24"/>
        </w:rPr>
        <w:t>、股东大会对利润分配方案进行审议时，公司应当通过热线电话等相关渠</w:t>
      </w:r>
      <w:r w:rsidRPr="00880FC8">
        <w:rPr>
          <w:rFonts w:ascii="Times New Roman" w:eastAsia="宋体" w:hAnsi="Times New Roman" w:cs="Times New Roman" w:hint="eastAsia"/>
          <w:sz w:val="24"/>
          <w:szCs w:val="24"/>
        </w:rPr>
        <w:t>道与股东特别是中小股东进行沟通和交流，充分听取中小股东的意见和诉求，并及时答复中小股东关心的问题。公司为股东提供网络投票方式，且对中小股东表决应当单独计票，并在公司指定媒体上予以披露。</w:t>
      </w:r>
    </w:p>
    <w:bookmarkEnd w:id="1"/>
    <w:p w14:paraId="652BAA03" w14:textId="77777777" w:rsidR="00880FC8" w:rsidRPr="00880FC8" w:rsidRDefault="00880FC8" w:rsidP="00880FC8">
      <w:pPr>
        <w:adjustRightInd w:val="0"/>
        <w:snapToGrid w:val="0"/>
        <w:spacing w:beforeLines="50" w:before="156" w:line="360" w:lineRule="auto"/>
        <w:outlineLvl w:val="0"/>
        <w:rPr>
          <w:rFonts w:ascii="Times New Roman" w:eastAsia="宋体" w:hAnsi="Times New Roman" w:cs="Times New Roman"/>
          <w:b/>
          <w:sz w:val="28"/>
          <w:szCs w:val="28"/>
        </w:rPr>
      </w:pPr>
      <w:r w:rsidRPr="00880FC8">
        <w:rPr>
          <w:rFonts w:ascii="Times New Roman" w:eastAsia="宋体" w:hAnsi="Times New Roman" w:cs="Times New Roman" w:hint="eastAsia"/>
          <w:b/>
          <w:sz w:val="28"/>
          <w:szCs w:val="28"/>
        </w:rPr>
        <w:t>四、</w:t>
      </w:r>
      <w:bookmarkStart w:id="2" w:name="_Hlk118282236"/>
      <w:r w:rsidRPr="00880FC8">
        <w:rPr>
          <w:rFonts w:ascii="Times New Roman" w:eastAsia="宋体" w:hAnsi="Times New Roman" w:cs="Times New Roman" w:hint="eastAsia"/>
          <w:b/>
          <w:sz w:val="28"/>
          <w:szCs w:val="28"/>
        </w:rPr>
        <w:t>既定利润分配政策的调整</w:t>
      </w:r>
    </w:p>
    <w:p w14:paraId="5FE65B93" w14:textId="77777777"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3" w:name="_Hlk118282242"/>
      <w:bookmarkEnd w:id="2"/>
      <w:r w:rsidRPr="00880FC8">
        <w:rPr>
          <w:rFonts w:ascii="Times New Roman" w:eastAsia="宋体" w:hAnsi="Times New Roman" w:cs="Times New Roman" w:hint="eastAsia"/>
          <w:sz w:val="24"/>
          <w:szCs w:val="24"/>
        </w:rPr>
        <w:t>如遇到战争、自然灾害等不可抗力、或者公司外部经营环境变化并对公司生产经营造成重大影响，或公司自身经营状况发生较大变化时，公司可对利润分配政策进行调整。</w:t>
      </w:r>
    </w:p>
    <w:p w14:paraId="786A1BFF" w14:textId="484BA170"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lastRenderedPageBreak/>
        <w:t>公司调整利润分配政策应由董事会做出专题论证，详细论证调整理由，形成书面论证报告并经独立董事审议后提交股东大会以特别决议通过。审议利润分配政策变更事项时，公司为股东提供网络投票方式，且对中小股东表决应当单独计票，并为中小股东参加股东大会提供便利。</w:t>
      </w:r>
    </w:p>
    <w:bookmarkEnd w:id="3"/>
    <w:p w14:paraId="19C105D7" w14:textId="77777777" w:rsidR="00880FC8" w:rsidRPr="00880FC8" w:rsidRDefault="00880FC8" w:rsidP="00880FC8">
      <w:pPr>
        <w:adjustRightInd w:val="0"/>
        <w:snapToGrid w:val="0"/>
        <w:spacing w:beforeLines="50" w:before="156" w:line="360" w:lineRule="auto"/>
        <w:outlineLvl w:val="0"/>
        <w:rPr>
          <w:rFonts w:ascii="Times New Roman" w:eastAsia="宋体" w:hAnsi="Times New Roman" w:cs="Times New Roman"/>
          <w:b/>
          <w:sz w:val="28"/>
          <w:szCs w:val="28"/>
        </w:rPr>
      </w:pPr>
      <w:r w:rsidRPr="00880FC8">
        <w:rPr>
          <w:rFonts w:ascii="Times New Roman" w:eastAsia="宋体" w:hAnsi="Times New Roman" w:cs="Times New Roman" w:hint="eastAsia"/>
          <w:b/>
          <w:sz w:val="28"/>
          <w:szCs w:val="28"/>
        </w:rPr>
        <w:t>五、</w:t>
      </w:r>
      <w:bookmarkStart w:id="4" w:name="_Hlk118282256"/>
      <w:r w:rsidRPr="00880FC8">
        <w:rPr>
          <w:rFonts w:ascii="Times New Roman" w:eastAsia="宋体" w:hAnsi="Times New Roman" w:cs="Times New Roman" w:hint="eastAsia"/>
          <w:b/>
          <w:sz w:val="28"/>
          <w:szCs w:val="28"/>
        </w:rPr>
        <w:t>信息披露</w:t>
      </w:r>
      <w:bookmarkEnd w:id="4"/>
    </w:p>
    <w:p w14:paraId="1E1DBD8E" w14:textId="187D1F88" w:rsidR="00880FC8" w:rsidRP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5" w:name="_Hlk118282261"/>
      <w:r w:rsidRPr="00880FC8">
        <w:rPr>
          <w:rFonts w:ascii="Times New Roman" w:eastAsia="宋体" w:hAnsi="Times New Roman" w:cs="Times New Roman" w:hint="eastAsia"/>
          <w:sz w:val="24"/>
          <w:szCs w:val="24"/>
        </w:rPr>
        <w:t>公司根据中国证券监督管理委员会、上海证券交易所的相关规定，在年度报告、半年度报告、季度报告中披露公司利润分配方案及其实施情况等相关信息。</w:t>
      </w:r>
    </w:p>
    <w:p w14:paraId="1FACA357" w14:textId="77777777" w:rsidR="00880FC8" w:rsidRPr="00880FC8" w:rsidRDefault="00880FC8" w:rsidP="00880FC8">
      <w:pPr>
        <w:adjustRightInd w:val="0"/>
        <w:snapToGrid w:val="0"/>
        <w:spacing w:beforeLines="50" w:before="156" w:line="360" w:lineRule="auto"/>
        <w:outlineLvl w:val="0"/>
        <w:rPr>
          <w:rFonts w:ascii="Times New Roman" w:eastAsia="宋体" w:hAnsi="Times New Roman" w:cs="Times New Roman"/>
          <w:b/>
          <w:sz w:val="28"/>
          <w:szCs w:val="28"/>
        </w:rPr>
      </w:pPr>
      <w:r w:rsidRPr="00880FC8">
        <w:rPr>
          <w:rFonts w:ascii="Times New Roman" w:eastAsia="宋体" w:hAnsi="Times New Roman" w:cs="Times New Roman" w:hint="eastAsia"/>
          <w:b/>
          <w:sz w:val="28"/>
          <w:szCs w:val="28"/>
        </w:rPr>
        <w:t>六、股东回报规划的制定周期</w:t>
      </w:r>
    </w:p>
    <w:p w14:paraId="45AC9C84" w14:textId="4EE5623F"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公司至少每三年重新审阅一次股东回报规划，根据股东（特别是公众投资者）和独立董事的意见对公司正在实施的利润分配政策</w:t>
      </w:r>
      <w:proofErr w:type="gramStart"/>
      <w:r w:rsidRPr="00880FC8">
        <w:rPr>
          <w:rFonts w:ascii="Times New Roman" w:eastAsia="宋体" w:hAnsi="Times New Roman" w:cs="Times New Roman" w:hint="eastAsia"/>
          <w:sz w:val="24"/>
          <w:szCs w:val="24"/>
        </w:rPr>
        <w:t>作出</w:t>
      </w:r>
      <w:proofErr w:type="gramEnd"/>
      <w:r w:rsidRPr="00880FC8">
        <w:rPr>
          <w:rFonts w:ascii="Times New Roman" w:eastAsia="宋体" w:hAnsi="Times New Roman" w:cs="Times New Roman" w:hint="eastAsia"/>
          <w:sz w:val="24"/>
          <w:szCs w:val="24"/>
        </w:rPr>
        <w:t>适当</w:t>
      </w:r>
      <w:proofErr w:type="gramStart"/>
      <w:r w:rsidRPr="00880FC8">
        <w:rPr>
          <w:rFonts w:ascii="Times New Roman" w:eastAsia="宋体" w:hAnsi="Times New Roman" w:cs="Times New Roman" w:hint="eastAsia"/>
          <w:sz w:val="24"/>
          <w:szCs w:val="24"/>
        </w:rPr>
        <w:t>且必要</w:t>
      </w:r>
      <w:proofErr w:type="gramEnd"/>
      <w:r w:rsidRPr="00880FC8">
        <w:rPr>
          <w:rFonts w:ascii="Times New Roman" w:eastAsia="宋体" w:hAnsi="Times New Roman" w:cs="Times New Roman" w:hint="eastAsia"/>
          <w:sz w:val="24"/>
          <w:szCs w:val="24"/>
        </w:rPr>
        <w:t>的修改，确定该段时间的股东具体回报计划。</w:t>
      </w:r>
    </w:p>
    <w:bookmarkEnd w:id="5"/>
    <w:p w14:paraId="50F6DEBB" w14:textId="0325F304"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1E89307" w14:textId="77777777" w:rsidR="00880FC8" w:rsidRDefault="00880FC8" w:rsidP="00880FC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DDCA9D8" w14:textId="7FFAADAA" w:rsidR="00880FC8" w:rsidRDefault="00880FC8" w:rsidP="00880FC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880FC8">
        <w:rPr>
          <w:rFonts w:ascii="Times New Roman" w:eastAsia="宋体" w:hAnsi="Times New Roman" w:cs="Times New Roman" w:hint="eastAsia"/>
          <w:sz w:val="24"/>
          <w:szCs w:val="24"/>
        </w:rPr>
        <w:t>北京京城机电股份有限公司董事会</w:t>
      </w:r>
    </w:p>
    <w:p w14:paraId="67A72DD8" w14:textId="6437FE21" w:rsidR="00880FC8" w:rsidRDefault="00880FC8" w:rsidP="00880FC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022</w:t>
      </w:r>
      <w:r>
        <w:rPr>
          <w:rFonts w:ascii="Times New Roman" w:eastAsia="宋体" w:hAnsi="Times New Roman" w:cs="Times New Roman" w:hint="eastAsia"/>
          <w:sz w:val="24"/>
          <w:szCs w:val="24"/>
        </w:rPr>
        <w:t>年</w:t>
      </w:r>
      <w:r w:rsidR="00E918DB">
        <w:rPr>
          <w:rFonts w:ascii="Times New Roman" w:eastAsia="宋体" w:hAnsi="Times New Roman" w:cs="Times New Roman" w:hint="eastAsia"/>
          <w:sz w:val="24"/>
          <w:szCs w:val="24"/>
        </w:rPr>
        <w:t>1</w:t>
      </w:r>
      <w:r w:rsidR="00E918DB">
        <w:rPr>
          <w:rFonts w:ascii="Times New Roman" w:eastAsia="宋体" w:hAnsi="Times New Roman" w:cs="Times New Roman"/>
          <w:sz w:val="24"/>
          <w:szCs w:val="24"/>
        </w:rPr>
        <w:t>1</w:t>
      </w:r>
      <w:r>
        <w:rPr>
          <w:rFonts w:ascii="Times New Roman" w:eastAsia="宋体" w:hAnsi="Times New Roman" w:cs="Times New Roman" w:hint="eastAsia"/>
          <w:sz w:val="24"/>
          <w:szCs w:val="24"/>
        </w:rPr>
        <w:t>月</w:t>
      </w:r>
      <w:r w:rsidR="00E918DB">
        <w:rPr>
          <w:rFonts w:ascii="Times New Roman" w:eastAsia="宋体" w:hAnsi="Times New Roman" w:cs="Times New Roman" w:hint="eastAsia"/>
          <w:sz w:val="24"/>
          <w:szCs w:val="24"/>
        </w:rPr>
        <w:t>1</w:t>
      </w:r>
      <w:r w:rsidR="00E918DB">
        <w:rPr>
          <w:rFonts w:ascii="Times New Roman" w:eastAsia="宋体" w:hAnsi="Times New Roman" w:cs="Times New Roman"/>
          <w:sz w:val="24"/>
          <w:szCs w:val="24"/>
        </w:rPr>
        <w:t>6</w:t>
      </w:r>
      <w:r>
        <w:rPr>
          <w:rFonts w:ascii="Times New Roman" w:eastAsia="宋体" w:hAnsi="Times New Roman" w:cs="Times New Roman" w:hint="eastAsia"/>
          <w:sz w:val="24"/>
          <w:szCs w:val="24"/>
        </w:rPr>
        <w:t>日</w:t>
      </w:r>
    </w:p>
    <w:p w14:paraId="58193D02" w14:textId="1AFE9BBE" w:rsidR="00782296" w:rsidRPr="00A06160" w:rsidRDefault="00782296"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63F82" w14:textId="77777777" w:rsidR="006603C7" w:rsidRDefault="006603C7" w:rsidP="005A4A8C">
      <w:r>
        <w:separator/>
      </w:r>
    </w:p>
  </w:endnote>
  <w:endnote w:type="continuationSeparator" w:id="0">
    <w:p w14:paraId="20944E1B" w14:textId="77777777" w:rsidR="006603C7" w:rsidRDefault="006603C7"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notTrueType/>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notTrueType/>
    <w:pitch w:val="fixed"/>
    <w:sig w:usb0="A00002FF" w:usb1="28CFFCFA" w:usb2="00000016" w:usb3="00000000" w:csb0="00100001" w:csb1="00000000"/>
  </w:font>
  <w:font w:name="MS Mincho">
    <w:altName w:val="ＭＳ 明朝"/>
    <w:panose1 w:val="02020609040205080304"/>
    <w:charset w:val="80"/>
    <w:family w:val="modern"/>
    <w:notTrueType/>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notTrueType/>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altName w:val="STFangsong"/>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notTrueType/>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Batang">
    <w:altName w:val="바탕"/>
    <w:panose1 w:val="02030600000101010101"/>
    <w:charset w:val="81"/>
    <w:family w:val="roman"/>
    <w:notTrueType/>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CEF7FA" w14:textId="77777777" w:rsidR="006603C7" w:rsidRDefault="006603C7" w:rsidP="005A4A8C">
      <w:r>
        <w:separator/>
      </w:r>
    </w:p>
  </w:footnote>
  <w:footnote w:type="continuationSeparator" w:id="0">
    <w:p w14:paraId="265C0D40" w14:textId="77777777" w:rsidR="006603C7" w:rsidRDefault="006603C7"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261570678">
    <w:abstractNumId w:val="20"/>
  </w:num>
  <w:num w:numId="2" w16cid:durableId="1391078352">
    <w:abstractNumId w:val="21"/>
  </w:num>
  <w:num w:numId="3" w16cid:durableId="1680154919">
    <w:abstractNumId w:val="6"/>
  </w:num>
  <w:num w:numId="4" w16cid:durableId="918369307">
    <w:abstractNumId w:val="13"/>
  </w:num>
  <w:num w:numId="5" w16cid:durableId="600837297">
    <w:abstractNumId w:val="7"/>
  </w:num>
  <w:num w:numId="6" w16cid:durableId="928778644">
    <w:abstractNumId w:val="4"/>
  </w:num>
  <w:num w:numId="7" w16cid:durableId="400442023">
    <w:abstractNumId w:val="8"/>
  </w:num>
  <w:num w:numId="8" w16cid:durableId="6947342">
    <w:abstractNumId w:val="5"/>
  </w:num>
  <w:num w:numId="9" w16cid:durableId="233590207">
    <w:abstractNumId w:val="3"/>
  </w:num>
  <w:num w:numId="10" w16cid:durableId="565338663">
    <w:abstractNumId w:val="2"/>
  </w:num>
  <w:num w:numId="11" w16cid:durableId="841237015">
    <w:abstractNumId w:val="15"/>
  </w:num>
  <w:num w:numId="12" w16cid:durableId="782964712">
    <w:abstractNumId w:val="9"/>
  </w:num>
  <w:num w:numId="13" w16cid:durableId="823132352">
    <w:abstractNumId w:val="16"/>
  </w:num>
  <w:num w:numId="14" w16cid:durableId="278952613">
    <w:abstractNumId w:val="11"/>
  </w:num>
  <w:num w:numId="15" w16cid:durableId="954019139">
    <w:abstractNumId w:val="12"/>
  </w:num>
  <w:num w:numId="16" w16cid:durableId="1416708030">
    <w:abstractNumId w:val="1"/>
  </w:num>
  <w:num w:numId="17" w16cid:durableId="1596943038">
    <w:abstractNumId w:val="10"/>
  </w:num>
  <w:num w:numId="18" w16cid:durableId="1411998318">
    <w:abstractNumId w:val="0"/>
  </w:num>
  <w:num w:numId="19" w16cid:durableId="444613509">
    <w:abstractNumId w:val="14"/>
  </w:num>
  <w:num w:numId="20" w16cid:durableId="366761912">
    <w:abstractNumId w:val="19"/>
  </w:num>
  <w:num w:numId="21" w16cid:durableId="849102630">
    <w:abstractNumId w:val="17"/>
  </w:num>
  <w:num w:numId="22" w16cid:durableId="175508627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67768"/>
    <w:rsid w:val="00071321"/>
    <w:rsid w:val="00084685"/>
    <w:rsid w:val="00087A36"/>
    <w:rsid w:val="00094D35"/>
    <w:rsid w:val="000A6F80"/>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D01DD"/>
    <w:rsid w:val="001D3634"/>
    <w:rsid w:val="001D5AE6"/>
    <w:rsid w:val="001E4619"/>
    <w:rsid w:val="001E71F4"/>
    <w:rsid w:val="002101C6"/>
    <w:rsid w:val="00224B02"/>
    <w:rsid w:val="002325C1"/>
    <w:rsid w:val="002350CD"/>
    <w:rsid w:val="00251A41"/>
    <w:rsid w:val="0025557B"/>
    <w:rsid w:val="00265CB0"/>
    <w:rsid w:val="00283ACD"/>
    <w:rsid w:val="002912ED"/>
    <w:rsid w:val="002A4B16"/>
    <w:rsid w:val="002B01E6"/>
    <w:rsid w:val="002C5B99"/>
    <w:rsid w:val="002C7C24"/>
    <w:rsid w:val="002D210A"/>
    <w:rsid w:val="002D4BF7"/>
    <w:rsid w:val="002E22DA"/>
    <w:rsid w:val="002E6B58"/>
    <w:rsid w:val="002F36DE"/>
    <w:rsid w:val="002F5D2F"/>
    <w:rsid w:val="00303662"/>
    <w:rsid w:val="00304C8A"/>
    <w:rsid w:val="00313DD4"/>
    <w:rsid w:val="0032034B"/>
    <w:rsid w:val="0032102D"/>
    <w:rsid w:val="0033597C"/>
    <w:rsid w:val="00335FC9"/>
    <w:rsid w:val="00340F56"/>
    <w:rsid w:val="003730AC"/>
    <w:rsid w:val="003841AB"/>
    <w:rsid w:val="00386A1D"/>
    <w:rsid w:val="003C105F"/>
    <w:rsid w:val="003C5A5F"/>
    <w:rsid w:val="003E324C"/>
    <w:rsid w:val="003F3F69"/>
    <w:rsid w:val="00403152"/>
    <w:rsid w:val="0041288F"/>
    <w:rsid w:val="00436011"/>
    <w:rsid w:val="004549B5"/>
    <w:rsid w:val="00463382"/>
    <w:rsid w:val="0047033C"/>
    <w:rsid w:val="00475C26"/>
    <w:rsid w:val="004A7F30"/>
    <w:rsid w:val="005005B4"/>
    <w:rsid w:val="0050279E"/>
    <w:rsid w:val="0053058A"/>
    <w:rsid w:val="005315C9"/>
    <w:rsid w:val="00536077"/>
    <w:rsid w:val="0054018A"/>
    <w:rsid w:val="00543593"/>
    <w:rsid w:val="00552232"/>
    <w:rsid w:val="005545A0"/>
    <w:rsid w:val="0056014B"/>
    <w:rsid w:val="005613B0"/>
    <w:rsid w:val="005638C7"/>
    <w:rsid w:val="005A4A8C"/>
    <w:rsid w:val="005B7E2A"/>
    <w:rsid w:val="005C65C5"/>
    <w:rsid w:val="005D15E6"/>
    <w:rsid w:val="005F7CE7"/>
    <w:rsid w:val="00630E39"/>
    <w:rsid w:val="006332AD"/>
    <w:rsid w:val="00635DAD"/>
    <w:rsid w:val="0064322E"/>
    <w:rsid w:val="0065675A"/>
    <w:rsid w:val="006603C7"/>
    <w:rsid w:val="006642A3"/>
    <w:rsid w:val="0068441F"/>
    <w:rsid w:val="00691B3F"/>
    <w:rsid w:val="006A0E0A"/>
    <w:rsid w:val="006A68D2"/>
    <w:rsid w:val="006A70E4"/>
    <w:rsid w:val="006B1E19"/>
    <w:rsid w:val="006B45B8"/>
    <w:rsid w:val="006B7CDF"/>
    <w:rsid w:val="006B7D0A"/>
    <w:rsid w:val="006E7446"/>
    <w:rsid w:val="006F0749"/>
    <w:rsid w:val="006F353E"/>
    <w:rsid w:val="006F3B53"/>
    <w:rsid w:val="00702D7A"/>
    <w:rsid w:val="007038F6"/>
    <w:rsid w:val="00705DCF"/>
    <w:rsid w:val="00715A54"/>
    <w:rsid w:val="00715CA4"/>
    <w:rsid w:val="00716262"/>
    <w:rsid w:val="007169A1"/>
    <w:rsid w:val="0073643D"/>
    <w:rsid w:val="00736EB1"/>
    <w:rsid w:val="00742FD7"/>
    <w:rsid w:val="0075374A"/>
    <w:rsid w:val="00782296"/>
    <w:rsid w:val="007971EC"/>
    <w:rsid w:val="007A2636"/>
    <w:rsid w:val="007B1A22"/>
    <w:rsid w:val="007C638C"/>
    <w:rsid w:val="007D14C9"/>
    <w:rsid w:val="007F051C"/>
    <w:rsid w:val="008120AB"/>
    <w:rsid w:val="00823819"/>
    <w:rsid w:val="00826059"/>
    <w:rsid w:val="00826E95"/>
    <w:rsid w:val="00841ABD"/>
    <w:rsid w:val="00844F8B"/>
    <w:rsid w:val="00844FC5"/>
    <w:rsid w:val="00845DB9"/>
    <w:rsid w:val="008764EF"/>
    <w:rsid w:val="00880FBA"/>
    <w:rsid w:val="00880FC8"/>
    <w:rsid w:val="008C2BFC"/>
    <w:rsid w:val="008C4419"/>
    <w:rsid w:val="008E4521"/>
    <w:rsid w:val="008E5DFC"/>
    <w:rsid w:val="008F1559"/>
    <w:rsid w:val="00903D34"/>
    <w:rsid w:val="009155AA"/>
    <w:rsid w:val="009261D5"/>
    <w:rsid w:val="00934E33"/>
    <w:rsid w:val="00935A6F"/>
    <w:rsid w:val="0094265B"/>
    <w:rsid w:val="00973C2E"/>
    <w:rsid w:val="00982AFE"/>
    <w:rsid w:val="00982C73"/>
    <w:rsid w:val="0098334C"/>
    <w:rsid w:val="009A1B9C"/>
    <w:rsid w:val="009A2B4A"/>
    <w:rsid w:val="009B03FD"/>
    <w:rsid w:val="009B7413"/>
    <w:rsid w:val="009C1A75"/>
    <w:rsid w:val="009C1BBB"/>
    <w:rsid w:val="009D2698"/>
    <w:rsid w:val="009F4693"/>
    <w:rsid w:val="00A0238A"/>
    <w:rsid w:val="00A06160"/>
    <w:rsid w:val="00A12F61"/>
    <w:rsid w:val="00A1447E"/>
    <w:rsid w:val="00A27546"/>
    <w:rsid w:val="00A31961"/>
    <w:rsid w:val="00A51B0F"/>
    <w:rsid w:val="00A72FB1"/>
    <w:rsid w:val="00AA021A"/>
    <w:rsid w:val="00AC467E"/>
    <w:rsid w:val="00AC6136"/>
    <w:rsid w:val="00AD1D5A"/>
    <w:rsid w:val="00AF3A2A"/>
    <w:rsid w:val="00B00414"/>
    <w:rsid w:val="00B05090"/>
    <w:rsid w:val="00B14EBC"/>
    <w:rsid w:val="00B349CB"/>
    <w:rsid w:val="00B523FF"/>
    <w:rsid w:val="00B5469F"/>
    <w:rsid w:val="00B77E45"/>
    <w:rsid w:val="00B83C10"/>
    <w:rsid w:val="00B85A3B"/>
    <w:rsid w:val="00B9217A"/>
    <w:rsid w:val="00BA0535"/>
    <w:rsid w:val="00BA5883"/>
    <w:rsid w:val="00BC757B"/>
    <w:rsid w:val="00BE2561"/>
    <w:rsid w:val="00BE7552"/>
    <w:rsid w:val="00BF41DF"/>
    <w:rsid w:val="00C15F8C"/>
    <w:rsid w:val="00C235F4"/>
    <w:rsid w:val="00C3256A"/>
    <w:rsid w:val="00C45437"/>
    <w:rsid w:val="00C46ED7"/>
    <w:rsid w:val="00C62059"/>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76A1"/>
    <w:rsid w:val="00D24E0D"/>
    <w:rsid w:val="00D26447"/>
    <w:rsid w:val="00D311DA"/>
    <w:rsid w:val="00D40265"/>
    <w:rsid w:val="00D42F8A"/>
    <w:rsid w:val="00D50B23"/>
    <w:rsid w:val="00D63847"/>
    <w:rsid w:val="00D66448"/>
    <w:rsid w:val="00D927B9"/>
    <w:rsid w:val="00DA3BDA"/>
    <w:rsid w:val="00DA74B9"/>
    <w:rsid w:val="00DB1920"/>
    <w:rsid w:val="00DB717D"/>
    <w:rsid w:val="00DC60A7"/>
    <w:rsid w:val="00DD36F3"/>
    <w:rsid w:val="00DD691F"/>
    <w:rsid w:val="00DD6C4E"/>
    <w:rsid w:val="00DF0A59"/>
    <w:rsid w:val="00DF32F3"/>
    <w:rsid w:val="00DF6DA7"/>
    <w:rsid w:val="00DF71BB"/>
    <w:rsid w:val="00E06F15"/>
    <w:rsid w:val="00E12DE6"/>
    <w:rsid w:val="00E25C43"/>
    <w:rsid w:val="00E32CFD"/>
    <w:rsid w:val="00E41FEE"/>
    <w:rsid w:val="00E4717F"/>
    <w:rsid w:val="00E52545"/>
    <w:rsid w:val="00E5403D"/>
    <w:rsid w:val="00E75685"/>
    <w:rsid w:val="00E77C74"/>
    <w:rsid w:val="00E803A1"/>
    <w:rsid w:val="00E918DB"/>
    <w:rsid w:val="00E96756"/>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5139"/>
    <w:rsid w:val="00F94989"/>
    <w:rsid w:val="00FA5950"/>
    <w:rsid w:val="00FA66A3"/>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08AB7-2959-482E-9CDA-6367A79F7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4</Pages>
  <Words>340</Words>
  <Characters>1940</Characters>
  <Application>Microsoft Office Word</Application>
  <DocSecurity>0</DocSecurity>
  <Lines>16</Lines>
  <Paragraphs>4</Paragraphs>
  <ScaleCrop>false</ScaleCrop>
  <Company/>
  <LinksUpToDate>false</LinksUpToDate>
  <CharactersWithSpaces>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61</cp:revision>
  <cp:lastPrinted>2020-08-14T08:21:00Z</cp:lastPrinted>
  <dcterms:created xsi:type="dcterms:W3CDTF">2020-08-26T03:01:00Z</dcterms:created>
  <dcterms:modified xsi:type="dcterms:W3CDTF">2022-11-15T03:31:00Z</dcterms:modified>
</cp:coreProperties>
</file>